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6B" w:rsidRPr="00FF75A2" w:rsidRDefault="007B246B" w:rsidP="007B246B">
      <w:pPr>
        <w:jc w:val="center"/>
        <w:rPr>
          <w:b/>
        </w:rPr>
      </w:pPr>
      <w:bookmarkStart w:id="0" w:name="_GoBack"/>
      <w:bookmarkEnd w:id="0"/>
      <w:r w:rsidRPr="00FF75A2">
        <w:rPr>
          <w:b/>
        </w:rPr>
        <w:t>THE NATIONAL GRID NORTH SEA LINK L</w:t>
      </w:r>
      <w:r w:rsidR="000027BB" w:rsidRPr="00FF75A2">
        <w:rPr>
          <w:b/>
        </w:rPr>
        <w:t>IMI</w:t>
      </w:r>
      <w:r w:rsidRPr="00FF75A2">
        <w:rPr>
          <w:b/>
        </w:rPr>
        <w:t>T</w:t>
      </w:r>
      <w:r w:rsidR="000027BB" w:rsidRPr="00FF75A2">
        <w:rPr>
          <w:b/>
        </w:rPr>
        <w:t>E</w:t>
      </w:r>
      <w:r w:rsidRPr="00FF75A2">
        <w:rPr>
          <w:b/>
        </w:rPr>
        <w:t>D (EAST SLEEKBURN) COMPULSORY PURCHASE ORDER 2016</w:t>
      </w:r>
    </w:p>
    <w:p w:rsidR="007B246B" w:rsidRPr="00C2279B" w:rsidRDefault="007B246B" w:rsidP="007B246B">
      <w:pPr>
        <w:jc w:val="center"/>
      </w:pPr>
    </w:p>
    <w:p w:rsidR="007B246B" w:rsidRPr="00C2279B" w:rsidRDefault="007B246B" w:rsidP="007B246B">
      <w:pPr>
        <w:jc w:val="center"/>
      </w:pPr>
      <w:r w:rsidRPr="00C2279B">
        <w:t>Acquisition of Land Act 1981</w:t>
      </w:r>
    </w:p>
    <w:p w:rsidR="007B246B" w:rsidRPr="00C2279B" w:rsidRDefault="007B246B" w:rsidP="007B246B">
      <w:pPr>
        <w:jc w:val="center"/>
      </w:pPr>
      <w:r w:rsidRPr="00C2279B">
        <w:t>__________________________</w:t>
      </w:r>
    </w:p>
    <w:p w:rsidR="007B246B" w:rsidRPr="00C2279B" w:rsidRDefault="007B246B" w:rsidP="007B246B">
      <w:pPr>
        <w:jc w:val="center"/>
      </w:pPr>
    </w:p>
    <w:p w:rsidR="007B246B" w:rsidRPr="00C2279B" w:rsidRDefault="007B246B" w:rsidP="000027BB">
      <w:pPr>
        <w:pStyle w:val="ListParagraph"/>
        <w:numPr>
          <w:ilvl w:val="0"/>
          <w:numId w:val="31"/>
        </w:numPr>
      </w:pPr>
      <w:r w:rsidRPr="00C2279B">
        <w:t>The National Grid North Sea L</w:t>
      </w:r>
      <w:r w:rsidR="000027BB" w:rsidRPr="00C2279B">
        <w:t>ink Limited</w:t>
      </w:r>
      <w:r w:rsidRPr="00C2279B">
        <w:t xml:space="preserve"> (East </w:t>
      </w:r>
      <w:proofErr w:type="spellStart"/>
      <w:r w:rsidRPr="00C2279B">
        <w:t>Sleekburn</w:t>
      </w:r>
      <w:proofErr w:type="spellEnd"/>
      <w:r w:rsidRPr="00C2279B">
        <w:t>) Compulsory Purchase Order 2016, which has been submitted by National Grid North Sea Link Limited</w:t>
      </w:r>
      <w:r w:rsidR="000027BB" w:rsidRPr="00C2279B">
        <w:t xml:space="preserve"> (company registration number 08082344)</w:t>
      </w:r>
      <w:r w:rsidRPr="00C2279B">
        <w:t xml:space="preserve"> to</w:t>
      </w:r>
      <w:r w:rsidR="000027BB" w:rsidRPr="00C2279B">
        <w:t xml:space="preserve"> the</w:t>
      </w:r>
      <w:r w:rsidRPr="00C2279B">
        <w:t xml:space="preserve"> Secretary of State for Business, Energy and Industrial Strategy </w:t>
      </w:r>
      <w:r w:rsidR="00C2279B" w:rsidRPr="00C2279B">
        <w:t>for confirmation, includes the New R</w:t>
      </w:r>
      <w:r w:rsidRPr="00C2279B">
        <w:t>ights described in the Schedule.</w:t>
      </w:r>
    </w:p>
    <w:p w:rsidR="000027BB" w:rsidRPr="00C2279B" w:rsidRDefault="000027BB" w:rsidP="000027BB">
      <w:pPr>
        <w:pStyle w:val="ListParagraph"/>
      </w:pPr>
    </w:p>
    <w:p w:rsidR="007B246B" w:rsidRPr="00C2279B" w:rsidRDefault="00C2279B" w:rsidP="007B246B">
      <w:pPr>
        <w:pStyle w:val="ListParagraph"/>
        <w:numPr>
          <w:ilvl w:val="0"/>
          <w:numId w:val="31"/>
        </w:numPr>
      </w:pPr>
      <w:r w:rsidRPr="00C2279B">
        <w:t>The land over which the N</w:t>
      </w:r>
      <w:r w:rsidR="007B246B" w:rsidRPr="00C2279B">
        <w:t>e</w:t>
      </w:r>
      <w:r w:rsidRPr="00C2279B">
        <w:t>w R</w:t>
      </w:r>
      <w:r w:rsidR="007B246B" w:rsidRPr="00C2279B">
        <w:t>ights are to be acquired forms part of an open space.</w:t>
      </w:r>
    </w:p>
    <w:p w:rsidR="000027BB" w:rsidRPr="00C2279B" w:rsidRDefault="000027BB" w:rsidP="000027BB"/>
    <w:p w:rsidR="007B246B" w:rsidRPr="00C2279B" w:rsidRDefault="007B246B" w:rsidP="007B246B">
      <w:pPr>
        <w:pStyle w:val="ListParagraph"/>
        <w:numPr>
          <w:ilvl w:val="0"/>
          <w:numId w:val="31"/>
        </w:numPr>
      </w:pPr>
      <w:r w:rsidRPr="00C2279B">
        <w:t>Notice is hereby given that the Secretary of State in exercise of his powers under paragraph 6 of Schedule 3 to the Acquisition of Land Act 1981 has certified that he is satisfied that the land desc</w:t>
      </w:r>
      <w:r w:rsidR="007D00BC">
        <w:t>ribed in the Schedule</w:t>
      </w:r>
      <w:r w:rsidRPr="00C2279B">
        <w:t>, being part of an open space within the meaning of the said Act, when burdened w</w:t>
      </w:r>
      <w:r w:rsidR="007D00BC">
        <w:t>ith the rights described in the</w:t>
      </w:r>
      <w:r w:rsidRPr="00C2279B">
        <w:t xml:space="preserve"> Schedule, will be no less advantageous to those persons in whom it is vested and other persons, if any, entitled to rights of common or other rights, and to the public, than it was before.</w:t>
      </w:r>
    </w:p>
    <w:p w:rsidR="000027BB" w:rsidRPr="00C2279B" w:rsidRDefault="000027BB" w:rsidP="000027BB"/>
    <w:p w:rsidR="00C2279B" w:rsidRPr="00C2279B" w:rsidRDefault="007B246B" w:rsidP="00EB077C">
      <w:pPr>
        <w:pStyle w:val="ListParagraph"/>
        <w:numPr>
          <w:ilvl w:val="0"/>
          <w:numId w:val="31"/>
        </w:numPr>
      </w:pPr>
      <w:r w:rsidRPr="00C2279B">
        <w:t>A map showing the land to which the certific</w:t>
      </w:r>
      <w:r w:rsidR="00C2279B" w:rsidRPr="00C2279B">
        <w:t>ate relates may be inspected at:</w:t>
      </w:r>
    </w:p>
    <w:p w:rsidR="00C2279B" w:rsidRPr="00C2279B" w:rsidRDefault="00C2279B" w:rsidP="00C2279B">
      <w:pPr>
        <w:pStyle w:val="ListParagraph"/>
      </w:pPr>
    </w:p>
    <w:p w:rsidR="00C2279B" w:rsidRPr="00C2279B" w:rsidRDefault="00EB077C" w:rsidP="00C2279B">
      <w:pPr>
        <w:pStyle w:val="ListParagraph"/>
        <w:numPr>
          <w:ilvl w:val="0"/>
          <w:numId w:val="32"/>
        </w:numPr>
      </w:pPr>
      <w:r w:rsidRPr="00C2279B">
        <w:t>Bedlington Station Library, Station Road, Bedlington, NE22 5HB during the following hours: 1pm to 5pm Monday, 9am to 12pm and 1pm to 7pm Wednesday, 1pm to 7pm Friday and 10am to 12 pm Saturday</w:t>
      </w:r>
      <w:r w:rsidR="00C2279B" w:rsidRPr="00C2279B">
        <w:t>;</w:t>
      </w:r>
      <w:r w:rsidRPr="00C2279B">
        <w:t xml:space="preserve"> and </w:t>
      </w:r>
    </w:p>
    <w:p w:rsidR="00C2279B" w:rsidRPr="00C2279B" w:rsidRDefault="00C2279B" w:rsidP="00C2279B">
      <w:pPr>
        <w:pStyle w:val="ListParagraph"/>
        <w:ind w:left="1353"/>
      </w:pPr>
    </w:p>
    <w:p w:rsidR="007B246B" w:rsidRPr="00C2279B" w:rsidRDefault="00EB077C" w:rsidP="00C2279B">
      <w:pPr>
        <w:pStyle w:val="ListParagraph"/>
        <w:numPr>
          <w:ilvl w:val="0"/>
          <w:numId w:val="32"/>
        </w:numPr>
      </w:pPr>
      <w:r w:rsidRPr="00C2279B">
        <w:t>East Bedlington Parish Council Offices, 15 Station Street, Bedlington, NE22 7JN during the following hours: 9am to 5pm Monday to Friday.</w:t>
      </w:r>
    </w:p>
    <w:p w:rsidR="000027BB" w:rsidRPr="00C2279B" w:rsidRDefault="000027BB" w:rsidP="000027BB"/>
    <w:p w:rsidR="007B246B" w:rsidRPr="00C2279B" w:rsidRDefault="007B246B" w:rsidP="007B246B">
      <w:pPr>
        <w:pStyle w:val="ListParagraph"/>
        <w:numPr>
          <w:ilvl w:val="0"/>
          <w:numId w:val="31"/>
        </w:numPr>
      </w:pPr>
      <w:r w:rsidRPr="00C2279B">
        <w:t xml:space="preserve">The certificate becomes operative on the date on which this notice is first published.  A person aggrieved by the certificate may, by application to the High Court within 6 weeks from that date, challenge its validity on the ground that there has been a failure to comply with any relevant statutory requirement relating to the certificate.  </w:t>
      </w:r>
    </w:p>
    <w:p w:rsidR="007B246B" w:rsidRPr="00C2279B" w:rsidRDefault="007B246B" w:rsidP="007B246B"/>
    <w:p w:rsidR="00C2279B" w:rsidRPr="00630F0E" w:rsidRDefault="00C2279B" w:rsidP="00C2279B">
      <w:pPr>
        <w:jc w:val="center"/>
        <w:rPr>
          <w:b/>
        </w:rPr>
      </w:pPr>
      <w:r w:rsidRPr="00630F0E">
        <w:rPr>
          <w:b/>
        </w:rPr>
        <w:t>SCHEDULE</w:t>
      </w:r>
    </w:p>
    <w:p w:rsidR="00C2279B" w:rsidRDefault="00C2279B" w:rsidP="00C2279B">
      <w:pPr>
        <w:rPr>
          <w:rFonts w:cs="Arial"/>
        </w:rPr>
      </w:pPr>
    </w:p>
    <w:p w:rsidR="00630F0E" w:rsidRPr="00C2279B" w:rsidRDefault="00630F0E" w:rsidP="00C227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37"/>
        <w:gridCol w:w="1758"/>
        <w:gridCol w:w="1307"/>
        <w:gridCol w:w="1435"/>
        <w:gridCol w:w="1476"/>
      </w:tblGrid>
      <w:tr w:rsidR="00C2279B" w:rsidRPr="00C2279B" w:rsidTr="00D054E5">
        <w:trPr>
          <w:trHeight w:val="735"/>
        </w:trPr>
        <w:tc>
          <w:tcPr>
            <w:tcW w:w="1228" w:type="dxa"/>
            <w:vMerge w:val="restart"/>
            <w:shd w:val="clear" w:color="auto" w:fill="auto"/>
          </w:tcPr>
          <w:p w:rsidR="00C2279B" w:rsidRPr="00C2279B" w:rsidRDefault="00C2279B" w:rsidP="00D054E5">
            <w:r w:rsidRPr="00C2279B">
              <w:t xml:space="preserve">NUMBER </w:t>
            </w:r>
          </w:p>
          <w:p w:rsidR="00C2279B" w:rsidRPr="00C2279B" w:rsidRDefault="00C2279B" w:rsidP="00D054E5">
            <w:r w:rsidRPr="00C2279B">
              <w:t>ON MAP</w:t>
            </w:r>
          </w:p>
          <w:p w:rsidR="00C2279B" w:rsidRPr="00C2279B" w:rsidRDefault="00C2279B" w:rsidP="00D054E5">
            <w:r w:rsidRPr="00C2279B">
              <w:t>(1)</w:t>
            </w:r>
          </w:p>
        </w:tc>
        <w:tc>
          <w:tcPr>
            <w:tcW w:w="2037" w:type="dxa"/>
            <w:vMerge w:val="restart"/>
            <w:shd w:val="clear" w:color="auto" w:fill="auto"/>
          </w:tcPr>
          <w:p w:rsidR="00C2279B" w:rsidRPr="00C2279B" w:rsidRDefault="00C2279B" w:rsidP="00D054E5">
            <w:r w:rsidRPr="00C2279B">
              <w:t>EXTENT, DESCRIPTION AND SITUATION OF THE LAND (2)</w:t>
            </w:r>
          </w:p>
        </w:tc>
        <w:tc>
          <w:tcPr>
            <w:tcW w:w="5976" w:type="dxa"/>
            <w:gridSpan w:val="4"/>
            <w:shd w:val="clear" w:color="auto" w:fill="auto"/>
          </w:tcPr>
          <w:p w:rsidR="00C2279B" w:rsidRPr="00C2279B" w:rsidRDefault="00C2279B" w:rsidP="00D054E5">
            <w:r w:rsidRPr="00C2279B">
              <w:t>QUALIFYING PERSONS UNDER SECTION 12(2)(a) OF THE ACQUISITION OF LAND ACT 1981 (3)</w:t>
            </w:r>
          </w:p>
          <w:p w:rsidR="00C2279B" w:rsidRPr="00C2279B" w:rsidRDefault="00C2279B" w:rsidP="00D054E5"/>
        </w:tc>
      </w:tr>
      <w:tr w:rsidR="00C2279B" w:rsidRPr="00C2279B" w:rsidTr="00D054E5">
        <w:trPr>
          <w:trHeight w:val="630"/>
        </w:trPr>
        <w:tc>
          <w:tcPr>
            <w:tcW w:w="1228" w:type="dxa"/>
            <w:vMerge/>
            <w:shd w:val="clear" w:color="auto" w:fill="auto"/>
          </w:tcPr>
          <w:p w:rsidR="00C2279B" w:rsidRPr="00C2279B" w:rsidRDefault="00C2279B" w:rsidP="00D054E5"/>
        </w:tc>
        <w:tc>
          <w:tcPr>
            <w:tcW w:w="2037" w:type="dxa"/>
            <w:vMerge/>
            <w:shd w:val="clear" w:color="auto" w:fill="auto"/>
          </w:tcPr>
          <w:p w:rsidR="00C2279B" w:rsidRPr="00C2279B" w:rsidRDefault="00C2279B" w:rsidP="00D054E5"/>
        </w:tc>
        <w:tc>
          <w:tcPr>
            <w:tcW w:w="1758" w:type="dxa"/>
            <w:shd w:val="clear" w:color="auto" w:fill="auto"/>
          </w:tcPr>
          <w:p w:rsidR="00C2279B" w:rsidRPr="00C2279B" w:rsidRDefault="00C2279B" w:rsidP="00D054E5">
            <w:r w:rsidRPr="00C2279B">
              <w:t>Owners or reputed owners</w:t>
            </w:r>
          </w:p>
          <w:p w:rsidR="00C2279B" w:rsidRPr="00C2279B" w:rsidRDefault="00C2279B" w:rsidP="00D054E5"/>
        </w:tc>
        <w:tc>
          <w:tcPr>
            <w:tcW w:w="1307" w:type="dxa"/>
            <w:shd w:val="clear" w:color="auto" w:fill="auto"/>
          </w:tcPr>
          <w:p w:rsidR="00C2279B" w:rsidRPr="00C2279B" w:rsidRDefault="00C2279B" w:rsidP="00D054E5">
            <w:r w:rsidRPr="00C2279B">
              <w:t>Lessees or reputed lessees</w:t>
            </w:r>
          </w:p>
          <w:p w:rsidR="00C2279B" w:rsidRPr="00C2279B" w:rsidRDefault="00C2279B" w:rsidP="00D054E5"/>
        </w:tc>
        <w:tc>
          <w:tcPr>
            <w:tcW w:w="1435" w:type="dxa"/>
            <w:shd w:val="clear" w:color="auto" w:fill="auto"/>
          </w:tcPr>
          <w:p w:rsidR="00C2279B" w:rsidRPr="00C2279B" w:rsidRDefault="00C2279B" w:rsidP="00D054E5">
            <w:r w:rsidRPr="00C2279B">
              <w:t>Tenants or reputed tenants (other than lessees)</w:t>
            </w:r>
          </w:p>
        </w:tc>
        <w:tc>
          <w:tcPr>
            <w:tcW w:w="1476" w:type="dxa"/>
            <w:shd w:val="clear" w:color="auto" w:fill="auto"/>
          </w:tcPr>
          <w:p w:rsidR="00C2279B" w:rsidRPr="00C2279B" w:rsidRDefault="00C2279B" w:rsidP="00D054E5">
            <w:r w:rsidRPr="00C2279B">
              <w:t>Occupiers</w:t>
            </w:r>
          </w:p>
          <w:p w:rsidR="00C2279B" w:rsidRPr="00C2279B" w:rsidRDefault="00C2279B" w:rsidP="00D054E5"/>
        </w:tc>
      </w:tr>
      <w:tr w:rsidR="00C2279B" w:rsidRPr="00C2279B" w:rsidTr="00D054E5">
        <w:tc>
          <w:tcPr>
            <w:tcW w:w="1228" w:type="dxa"/>
            <w:shd w:val="clear" w:color="auto" w:fill="auto"/>
          </w:tcPr>
          <w:p w:rsidR="00C2279B" w:rsidRPr="00C2279B" w:rsidRDefault="00C2279B" w:rsidP="00D054E5">
            <w:r w:rsidRPr="00C2279B">
              <w:t>1</w:t>
            </w:r>
          </w:p>
        </w:tc>
        <w:tc>
          <w:tcPr>
            <w:tcW w:w="2037" w:type="dxa"/>
            <w:shd w:val="clear" w:color="auto" w:fill="auto"/>
          </w:tcPr>
          <w:p w:rsidR="00C2279B" w:rsidRPr="00C2279B" w:rsidRDefault="00C2279B" w:rsidP="00D054E5">
            <w:r w:rsidRPr="00C2279B">
              <w:t xml:space="preserve">The new rights in approximately 46571 square metres of land known as foreshore and land adjoining the foreshore, </w:t>
            </w:r>
            <w:proofErr w:type="spellStart"/>
            <w:r w:rsidRPr="00C2279B">
              <w:t>Cambois</w:t>
            </w:r>
            <w:proofErr w:type="spellEnd"/>
          </w:p>
        </w:tc>
        <w:tc>
          <w:tcPr>
            <w:tcW w:w="1758" w:type="dxa"/>
            <w:shd w:val="clear" w:color="auto" w:fill="auto"/>
          </w:tcPr>
          <w:p w:rsidR="00C2279B" w:rsidRPr="00C2279B" w:rsidRDefault="00C2279B" w:rsidP="00D054E5">
            <w:r w:rsidRPr="00C2279B">
              <w:t>Northumberland County Council Legal Services</w:t>
            </w:r>
          </w:p>
          <w:p w:rsidR="00C2279B" w:rsidRPr="00C2279B" w:rsidRDefault="00C2279B" w:rsidP="00D054E5">
            <w:r w:rsidRPr="00C2279B">
              <w:t>County Hall</w:t>
            </w:r>
          </w:p>
          <w:p w:rsidR="00C2279B" w:rsidRPr="00C2279B" w:rsidRDefault="00C2279B" w:rsidP="00D054E5">
            <w:r w:rsidRPr="00C2279B">
              <w:t>Morpeth</w:t>
            </w:r>
          </w:p>
          <w:p w:rsidR="00C2279B" w:rsidRPr="00C2279B" w:rsidRDefault="00C2279B" w:rsidP="00D054E5">
            <w:r w:rsidRPr="00C2279B">
              <w:t>Northumberland</w:t>
            </w:r>
          </w:p>
          <w:p w:rsidR="00C2279B" w:rsidRPr="00C2279B" w:rsidRDefault="00C2279B" w:rsidP="00D054E5">
            <w:r w:rsidRPr="00C2279B">
              <w:t>NE61 2EF</w:t>
            </w:r>
          </w:p>
          <w:p w:rsidR="00C2279B" w:rsidRPr="00C2279B" w:rsidRDefault="00C2279B" w:rsidP="00D054E5"/>
          <w:p w:rsidR="00C2279B" w:rsidRPr="00C2279B" w:rsidRDefault="00C2279B" w:rsidP="00D054E5">
            <w:r w:rsidRPr="00C2279B">
              <w:t>The Coal Authority</w:t>
            </w:r>
          </w:p>
          <w:p w:rsidR="00C2279B" w:rsidRPr="00C2279B" w:rsidRDefault="00C2279B" w:rsidP="00D054E5">
            <w:r w:rsidRPr="00C2279B">
              <w:t>200 Lichfield Lane</w:t>
            </w:r>
          </w:p>
          <w:p w:rsidR="00C2279B" w:rsidRPr="00C2279B" w:rsidRDefault="00C2279B" w:rsidP="00D054E5">
            <w:r w:rsidRPr="00C2279B">
              <w:t>Mansfield</w:t>
            </w:r>
          </w:p>
          <w:p w:rsidR="00C2279B" w:rsidRPr="00C2279B" w:rsidRDefault="00C2279B" w:rsidP="00D054E5">
            <w:r w:rsidRPr="00C2279B">
              <w:t>Nottinghamshire</w:t>
            </w:r>
          </w:p>
          <w:p w:rsidR="00C2279B" w:rsidRPr="00C2279B" w:rsidRDefault="00C2279B" w:rsidP="00D054E5">
            <w:r w:rsidRPr="00C2279B">
              <w:t>NG18 4RG</w:t>
            </w:r>
          </w:p>
          <w:p w:rsidR="00C2279B" w:rsidRPr="00C2279B" w:rsidRDefault="00C2279B" w:rsidP="007D00BC">
            <w:r w:rsidRPr="00C2279B">
              <w:t>(in respect of mines and minerals)</w:t>
            </w:r>
          </w:p>
        </w:tc>
        <w:tc>
          <w:tcPr>
            <w:tcW w:w="1307" w:type="dxa"/>
            <w:shd w:val="clear" w:color="auto" w:fill="auto"/>
          </w:tcPr>
          <w:p w:rsidR="00C2279B" w:rsidRPr="00C2279B" w:rsidRDefault="00C2279B" w:rsidP="00D054E5">
            <w:r w:rsidRPr="00C2279B">
              <w:t>None</w:t>
            </w:r>
          </w:p>
        </w:tc>
        <w:tc>
          <w:tcPr>
            <w:tcW w:w="1435" w:type="dxa"/>
            <w:shd w:val="clear" w:color="auto" w:fill="auto"/>
          </w:tcPr>
          <w:p w:rsidR="00C2279B" w:rsidRPr="00C2279B" w:rsidRDefault="00C2279B" w:rsidP="00D054E5">
            <w:r w:rsidRPr="00C2279B">
              <w:t>None</w:t>
            </w:r>
          </w:p>
        </w:tc>
        <w:tc>
          <w:tcPr>
            <w:tcW w:w="1476" w:type="dxa"/>
            <w:shd w:val="clear" w:color="auto" w:fill="auto"/>
          </w:tcPr>
          <w:p w:rsidR="00C2279B" w:rsidRPr="00C2279B" w:rsidRDefault="00C2279B" w:rsidP="00D054E5">
            <w:r w:rsidRPr="00C2279B">
              <w:t>Owners</w:t>
            </w:r>
          </w:p>
        </w:tc>
      </w:tr>
    </w:tbl>
    <w:p w:rsidR="00C2279B" w:rsidRPr="00C2279B" w:rsidRDefault="00C2279B" w:rsidP="00C2279B">
      <w:pPr>
        <w:pStyle w:val="Heading1"/>
        <w:keepNext w:val="0"/>
        <w:numPr>
          <w:ilvl w:val="2"/>
          <w:numId w:val="0"/>
        </w:numPr>
        <w:tabs>
          <w:tab w:val="num" w:pos="0"/>
        </w:tabs>
        <w:spacing w:before="0" w:after="0" w:line="280" w:lineRule="atLeast"/>
        <w:jc w:val="both"/>
        <w:rPr>
          <w:rFonts w:ascii="Verdana" w:hAnsi="Verdana" w:cs="Arial"/>
          <w:sz w:val="18"/>
          <w:szCs w:val="18"/>
        </w:rPr>
      </w:pPr>
      <w:r w:rsidRPr="00C2279B">
        <w:rPr>
          <w:rFonts w:ascii="Verdana" w:hAnsi="Verdana" w:cs="Arial"/>
          <w:sz w:val="18"/>
          <w:szCs w:val="18"/>
        </w:rPr>
        <w:lastRenderedPageBreak/>
        <w:t>The New Rights to be purchased compulsorily over land under the order are all rights necessary:</w:t>
      </w:r>
    </w:p>
    <w:p w:rsidR="00C2279B" w:rsidRPr="00C2279B" w:rsidRDefault="00C2279B" w:rsidP="00C2279B">
      <w:pPr>
        <w:pStyle w:val="Heading1"/>
        <w:spacing w:before="0" w:after="0"/>
        <w:ind w:left="720"/>
        <w:rPr>
          <w:rFonts w:ascii="Verdana" w:hAnsi="Verdana" w:cs="Arial"/>
          <w:sz w:val="18"/>
          <w:szCs w:val="18"/>
        </w:rPr>
      </w:pPr>
    </w:p>
    <w:p w:rsidR="00C2279B" w:rsidRPr="00C2279B" w:rsidRDefault="00C2279B" w:rsidP="00630F0E">
      <w:pPr>
        <w:pStyle w:val="aDefinition"/>
        <w:numPr>
          <w:ilvl w:val="0"/>
          <w:numId w:val="34"/>
        </w:numPr>
        <w:spacing w:line="312" w:lineRule="auto"/>
        <w:rPr>
          <w:rFonts w:cs="Arial"/>
        </w:rPr>
      </w:pPr>
      <w:r w:rsidRPr="00C2279B">
        <w:rPr>
          <w:rFonts w:cs="Arial"/>
        </w:rPr>
        <w:t xml:space="preserve">to construct and place new electricity interconnector infrastructure within, upon or over the land and thereafter to retain, inspect, maintain, repair, alter, renew, replace, remove and use the electricity interconnector infrastructure; </w:t>
      </w:r>
    </w:p>
    <w:p w:rsidR="00C2279B" w:rsidRPr="00C2279B" w:rsidRDefault="00C2279B" w:rsidP="00630F0E">
      <w:pPr>
        <w:pStyle w:val="aDefinition"/>
        <w:numPr>
          <w:ilvl w:val="0"/>
          <w:numId w:val="34"/>
        </w:numPr>
        <w:spacing w:line="312" w:lineRule="auto"/>
        <w:rPr>
          <w:rFonts w:cs="Arial"/>
        </w:rPr>
      </w:pPr>
      <w:r w:rsidRPr="00C2279B">
        <w:rPr>
          <w:rFonts w:cs="Arial"/>
        </w:rPr>
        <w:t xml:space="preserve">to use the land as a working and compound area for construction, inspection, maintenance, repair, alteration, renewal, replacement and removal of the electricity interconnector infrastructure; </w:t>
      </w:r>
    </w:p>
    <w:p w:rsidR="00C2279B" w:rsidRPr="00C2279B" w:rsidRDefault="00C2279B" w:rsidP="00630F0E">
      <w:pPr>
        <w:pStyle w:val="aDefinition"/>
        <w:numPr>
          <w:ilvl w:val="0"/>
          <w:numId w:val="34"/>
        </w:numPr>
        <w:spacing w:line="312" w:lineRule="auto"/>
        <w:rPr>
          <w:rFonts w:cs="Arial"/>
        </w:rPr>
      </w:pPr>
      <w:r w:rsidRPr="00C2279B">
        <w:rPr>
          <w:rFonts w:cs="Arial"/>
        </w:rPr>
        <w:t xml:space="preserve">to protect the electricity interconnector infrastructure; prevent interference with, damage or injury to the electricity interconnector infrastructure or its operation, or interference with or obstruction of access to it; </w:t>
      </w:r>
    </w:p>
    <w:p w:rsidR="00C2279B" w:rsidRPr="00C2279B" w:rsidRDefault="00C2279B" w:rsidP="00630F0E">
      <w:pPr>
        <w:pStyle w:val="aDefinition"/>
        <w:numPr>
          <w:ilvl w:val="0"/>
          <w:numId w:val="34"/>
        </w:numPr>
        <w:spacing w:line="312" w:lineRule="auto"/>
        <w:rPr>
          <w:rFonts w:cs="Arial"/>
        </w:rPr>
      </w:pPr>
      <w:r w:rsidRPr="00C2279B">
        <w:rPr>
          <w:rFonts w:cs="Arial"/>
        </w:rPr>
        <w:t xml:space="preserve">to prevent any works on or use of the land which may interfere with or damage the electricity interconnector infrastructure or which interferes with or obstructs access to the electricity interconnector infrastructure; </w:t>
      </w:r>
    </w:p>
    <w:p w:rsidR="00C2279B" w:rsidRPr="00C2279B" w:rsidRDefault="00C2279B" w:rsidP="00630F0E">
      <w:pPr>
        <w:pStyle w:val="aDefinition"/>
        <w:numPr>
          <w:ilvl w:val="0"/>
          <w:numId w:val="34"/>
        </w:numPr>
        <w:spacing w:line="312" w:lineRule="auto"/>
        <w:rPr>
          <w:rFonts w:cs="Arial"/>
        </w:rPr>
      </w:pPr>
      <w:r w:rsidRPr="00C2279B">
        <w:rPr>
          <w:rFonts w:cs="Arial"/>
        </w:rPr>
        <w:t>to access the land and access adjoining land in connection with the electricity interconnector infrastructure;</w:t>
      </w:r>
    </w:p>
    <w:p w:rsidR="00C2279B" w:rsidRPr="00C2279B" w:rsidRDefault="00C2279B" w:rsidP="00630F0E">
      <w:pPr>
        <w:pStyle w:val="aDefinition"/>
        <w:numPr>
          <w:ilvl w:val="0"/>
          <w:numId w:val="34"/>
        </w:numPr>
        <w:spacing w:line="312" w:lineRule="auto"/>
        <w:rPr>
          <w:rFonts w:cs="Arial"/>
        </w:rPr>
      </w:pPr>
      <w:r w:rsidRPr="00C2279B">
        <w:rPr>
          <w:rFonts w:cs="Arial"/>
        </w:rPr>
        <w:t xml:space="preserve">to fell, trim and lop all trees, bushes and other vegetation which obstructs or interferes with the exercise of those rights; </w:t>
      </w:r>
    </w:p>
    <w:p w:rsidR="00C2279B" w:rsidRPr="00C2279B" w:rsidRDefault="00C2279B" w:rsidP="00630F0E">
      <w:pPr>
        <w:pStyle w:val="aDefinition"/>
        <w:numPr>
          <w:ilvl w:val="0"/>
          <w:numId w:val="34"/>
        </w:numPr>
        <w:spacing w:line="312" w:lineRule="auto"/>
        <w:rPr>
          <w:rFonts w:cs="Arial"/>
        </w:rPr>
      </w:pPr>
      <w:r w:rsidRPr="00C2279B">
        <w:rPr>
          <w:rFonts w:cs="Arial"/>
        </w:rPr>
        <w:t>to execute such other works for the purpose of, or incidental to, the construction, use or maintenance of the electricity interconnector infrastructure including but not limited to drainage works; and</w:t>
      </w:r>
    </w:p>
    <w:p w:rsidR="00C2279B" w:rsidRPr="00C2279B" w:rsidRDefault="00C2279B" w:rsidP="003B2922">
      <w:pPr>
        <w:pStyle w:val="aDefinition"/>
        <w:numPr>
          <w:ilvl w:val="0"/>
          <w:numId w:val="34"/>
        </w:numPr>
        <w:spacing w:line="312" w:lineRule="auto"/>
        <w:rPr>
          <w:rFonts w:cs="Arial"/>
        </w:rPr>
      </w:pPr>
      <w:proofErr w:type="gramStart"/>
      <w:r w:rsidRPr="00C2279B">
        <w:rPr>
          <w:rFonts w:cs="Arial"/>
        </w:rPr>
        <w:t>to</w:t>
      </w:r>
      <w:proofErr w:type="gramEnd"/>
      <w:r w:rsidRPr="00C2279B">
        <w:rPr>
          <w:rFonts w:cs="Arial"/>
        </w:rPr>
        <w:t xml:space="preserve"> carry out any activities ancillary or incidental thereto. </w:t>
      </w:r>
    </w:p>
    <w:p w:rsidR="00C2279B" w:rsidRPr="00C2279B" w:rsidRDefault="00C2279B" w:rsidP="00C2279B"/>
    <w:p w:rsidR="00C2279B" w:rsidRPr="00C2279B" w:rsidRDefault="00C2279B" w:rsidP="00C2279B">
      <w:pPr>
        <w:rPr>
          <w:b/>
        </w:rPr>
      </w:pPr>
      <w:r w:rsidRPr="00C2279B">
        <w:rPr>
          <w:b/>
        </w:rPr>
        <w:t>NATIONAL GRID NORTH SEA LINK LIMITED</w:t>
      </w:r>
    </w:p>
    <w:p w:rsidR="00C2279B" w:rsidRPr="00C2279B" w:rsidRDefault="00C2279B" w:rsidP="00C2279B"/>
    <w:p w:rsidR="00C2279B" w:rsidRPr="00C2279B" w:rsidRDefault="003B2922" w:rsidP="00C2279B">
      <w:pPr>
        <w:jc w:val="left"/>
      </w:pPr>
      <w:r>
        <w:t>13 April 2017</w:t>
      </w:r>
    </w:p>
    <w:sectPr w:rsidR="00C2279B" w:rsidRPr="00C2279B"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8C" w:rsidRDefault="00466D8C" w:rsidP="006B04F4">
      <w:r>
        <w:separator/>
      </w:r>
    </w:p>
  </w:endnote>
  <w:endnote w:type="continuationSeparator" w:id="0">
    <w:p w:rsidR="00466D8C" w:rsidRDefault="00466D8C"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35" w:rsidRDefault="00F86E8B" w:rsidP="006B04F4">
    <w:pPr>
      <w:pStyle w:val="Footer"/>
    </w:pPr>
    <w:fldSimple w:instr=" Title \* lower \* MERGEFORMAT ">
      <w:r w:rsidR="003B2922">
        <w:t>lon_lib1\16054164\2</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8E32E2">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3B2922">
      <w:t>30 March 2017</w:t>
    </w:r>
    <w:r>
      <w:fldChar w:fldCharType="end"/>
    </w:r>
    <w:r w:rsidR="00095D35">
      <w:t xml:space="preserve"> </w:t>
    </w:r>
    <w:fldSimple w:instr=" Author \*lower \* MERGEFORMAT ">
      <w:r w:rsidR="003B2922">
        <w:t>nicholhw</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8C" w:rsidRDefault="00466D8C" w:rsidP="006B04F4">
      <w:r>
        <w:separator/>
      </w:r>
    </w:p>
  </w:footnote>
  <w:footnote w:type="continuationSeparator" w:id="0">
    <w:p w:rsidR="00466D8C" w:rsidRDefault="00466D8C" w:rsidP="006B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nsid w:val="1C7144CC"/>
    <w:multiLevelType w:val="hybridMultilevel"/>
    <w:tmpl w:val="0E507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3A64F38"/>
    <w:multiLevelType w:val="hybridMultilevel"/>
    <w:tmpl w:val="A2DEA8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F657F0"/>
    <w:multiLevelType w:val="hybridMultilevel"/>
    <w:tmpl w:val="0E507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02215"/>
    <w:multiLevelType w:val="hybridMultilevel"/>
    <w:tmpl w:val="86F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0A940AA"/>
    <w:multiLevelType w:val="hybridMultilevel"/>
    <w:tmpl w:val="0E507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4"/>
  </w:num>
  <w:num w:numId="3">
    <w:abstractNumId w:val="15"/>
  </w:num>
  <w:num w:numId="4">
    <w:abstractNumId w:val="12"/>
  </w:num>
  <w:num w:numId="5">
    <w:abstractNumId w:val="11"/>
  </w:num>
  <w:num w:numId="6">
    <w:abstractNumId w:val="1"/>
  </w:num>
  <w:num w:numId="7">
    <w:abstractNumId w:val="2"/>
  </w:num>
  <w:num w:numId="8">
    <w:abstractNumId w:val="0"/>
  </w:num>
  <w:num w:numId="9">
    <w:abstractNumId w:val="6"/>
  </w:num>
  <w:num w:numId="10">
    <w:abstractNumId w:val="7"/>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
  </w:num>
  <w:num w:numId="18">
    <w:abstractNumId w:val="2"/>
  </w:num>
  <w:num w:numId="19">
    <w:abstractNumId w:val="0"/>
  </w:num>
  <w:num w:numId="20">
    <w:abstractNumId w:val="6"/>
  </w:num>
  <w:num w:numId="21">
    <w:abstractNumId w:val="6"/>
  </w:num>
  <w:num w:numId="22">
    <w:abstractNumId w:val="6"/>
  </w:num>
  <w:num w:numId="23">
    <w:abstractNumId w:val="6"/>
  </w:num>
  <w:num w:numId="24">
    <w:abstractNumId w:val="14"/>
  </w:num>
  <w:num w:numId="25">
    <w:abstractNumId w:val="6"/>
  </w:num>
  <w:num w:numId="26">
    <w:abstractNumId w:val="4"/>
  </w:num>
  <w:num w:numId="27">
    <w:abstractNumId w:val="4"/>
  </w:num>
  <w:num w:numId="28">
    <w:abstractNumId w:val="6"/>
  </w:num>
  <w:num w:numId="29">
    <w:abstractNumId w:val="3"/>
  </w:num>
  <w:num w:numId="30">
    <w:abstractNumId w:val="13"/>
  </w:num>
  <w:num w:numId="31">
    <w:abstractNumId w:val="8"/>
  </w:num>
  <w:num w:numId="32">
    <w:abstractNumId w:val="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97"/>
    <w:rsid w:val="000027BB"/>
    <w:rsid w:val="00002D5A"/>
    <w:rsid w:val="00015E26"/>
    <w:rsid w:val="000521C8"/>
    <w:rsid w:val="00095D35"/>
    <w:rsid w:val="000A7A8D"/>
    <w:rsid w:val="000C13FC"/>
    <w:rsid w:val="000C4EFB"/>
    <w:rsid w:val="000D0EB3"/>
    <w:rsid w:val="000E786C"/>
    <w:rsid w:val="000F7BFE"/>
    <w:rsid w:val="00182509"/>
    <w:rsid w:val="00192F42"/>
    <w:rsid w:val="001A4A17"/>
    <w:rsid w:val="001D081B"/>
    <w:rsid w:val="001D30D4"/>
    <w:rsid w:val="0022103D"/>
    <w:rsid w:val="00240596"/>
    <w:rsid w:val="0024111A"/>
    <w:rsid w:val="00281BA0"/>
    <w:rsid w:val="002C0F9F"/>
    <w:rsid w:val="002D3F20"/>
    <w:rsid w:val="002D58E0"/>
    <w:rsid w:val="003000F0"/>
    <w:rsid w:val="00307CC7"/>
    <w:rsid w:val="00341373"/>
    <w:rsid w:val="0038213C"/>
    <w:rsid w:val="00383CC4"/>
    <w:rsid w:val="00392960"/>
    <w:rsid w:val="003B2922"/>
    <w:rsid w:val="003B7E31"/>
    <w:rsid w:val="003D4696"/>
    <w:rsid w:val="0042448F"/>
    <w:rsid w:val="00425E3B"/>
    <w:rsid w:val="00437FD9"/>
    <w:rsid w:val="004425AC"/>
    <w:rsid w:val="0045497F"/>
    <w:rsid w:val="00462F5C"/>
    <w:rsid w:val="00466D8C"/>
    <w:rsid w:val="004719B6"/>
    <w:rsid w:val="004D37E4"/>
    <w:rsid w:val="004D7C14"/>
    <w:rsid w:val="00514C95"/>
    <w:rsid w:val="00514FF6"/>
    <w:rsid w:val="005416CC"/>
    <w:rsid w:val="00595A4B"/>
    <w:rsid w:val="005D221E"/>
    <w:rsid w:val="005D30CA"/>
    <w:rsid w:val="005D5AA6"/>
    <w:rsid w:val="005E61A1"/>
    <w:rsid w:val="0061316E"/>
    <w:rsid w:val="00622F08"/>
    <w:rsid w:val="00630F0E"/>
    <w:rsid w:val="00686E83"/>
    <w:rsid w:val="0069099E"/>
    <w:rsid w:val="006B04F4"/>
    <w:rsid w:val="006B2316"/>
    <w:rsid w:val="006D6242"/>
    <w:rsid w:val="006E4532"/>
    <w:rsid w:val="00741251"/>
    <w:rsid w:val="007670B9"/>
    <w:rsid w:val="007816E3"/>
    <w:rsid w:val="00785468"/>
    <w:rsid w:val="0079192D"/>
    <w:rsid w:val="007B246B"/>
    <w:rsid w:val="007B4017"/>
    <w:rsid w:val="007D00BC"/>
    <w:rsid w:val="00811F40"/>
    <w:rsid w:val="00820535"/>
    <w:rsid w:val="008610A1"/>
    <w:rsid w:val="008611F8"/>
    <w:rsid w:val="0087614C"/>
    <w:rsid w:val="008C300A"/>
    <w:rsid w:val="008C5B6F"/>
    <w:rsid w:val="008E32E2"/>
    <w:rsid w:val="008E5F92"/>
    <w:rsid w:val="0092211F"/>
    <w:rsid w:val="00962926"/>
    <w:rsid w:val="009633AC"/>
    <w:rsid w:val="009660ED"/>
    <w:rsid w:val="00971DD7"/>
    <w:rsid w:val="009935D9"/>
    <w:rsid w:val="009A1129"/>
    <w:rsid w:val="009E4929"/>
    <w:rsid w:val="009E72FA"/>
    <w:rsid w:val="009F2998"/>
    <w:rsid w:val="009F6505"/>
    <w:rsid w:val="00A00571"/>
    <w:rsid w:val="00A36FD6"/>
    <w:rsid w:val="00A371A8"/>
    <w:rsid w:val="00A6021D"/>
    <w:rsid w:val="00A62AEF"/>
    <w:rsid w:val="00A71299"/>
    <w:rsid w:val="00A720EC"/>
    <w:rsid w:val="00A86EAF"/>
    <w:rsid w:val="00AA62BB"/>
    <w:rsid w:val="00AD25C8"/>
    <w:rsid w:val="00B21DD3"/>
    <w:rsid w:val="00B6379F"/>
    <w:rsid w:val="00B73F55"/>
    <w:rsid w:val="00B766FA"/>
    <w:rsid w:val="00BA456B"/>
    <w:rsid w:val="00BC190C"/>
    <w:rsid w:val="00C02DAA"/>
    <w:rsid w:val="00C2279B"/>
    <w:rsid w:val="00C4391A"/>
    <w:rsid w:val="00C4535D"/>
    <w:rsid w:val="00C74397"/>
    <w:rsid w:val="00C97BD1"/>
    <w:rsid w:val="00CA13E5"/>
    <w:rsid w:val="00CE2027"/>
    <w:rsid w:val="00CE2765"/>
    <w:rsid w:val="00D045AC"/>
    <w:rsid w:val="00D05BD0"/>
    <w:rsid w:val="00D44B31"/>
    <w:rsid w:val="00D62BB9"/>
    <w:rsid w:val="00DA55DB"/>
    <w:rsid w:val="00DD04B1"/>
    <w:rsid w:val="00E15E86"/>
    <w:rsid w:val="00E207F8"/>
    <w:rsid w:val="00E30297"/>
    <w:rsid w:val="00E3791B"/>
    <w:rsid w:val="00EB077C"/>
    <w:rsid w:val="00EB65EC"/>
    <w:rsid w:val="00F06AF5"/>
    <w:rsid w:val="00F44B9D"/>
    <w:rsid w:val="00F47BFE"/>
    <w:rsid w:val="00F51FEF"/>
    <w:rsid w:val="00F74ED1"/>
    <w:rsid w:val="00F86E8B"/>
    <w:rsid w:val="00FC6E00"/>
    <w:rsid w:val="00FD6424"/>
    <w:rsid w:val="00FF75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18"/>
        <w:szCs w:val="18"/>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4111A"/>
    <w:pPr>
      <w:jc w:val="both"/>
    </w:pPr>
  </w:style>
  <w:style w:type="paragraph" w:styleId="Heading1">
    <w:name w:val="heading 1"/>
    <w:basedOn w:val="Normal"/>
    <w:next w:val="Normal"/>
    <w:link w:val="Heading1Char"/>
    <w:qFormat/>
    <w:rsid w:val="00C2279B"/>
    <w:pPr>
      <w:keepNext/>
      <w:spacing w:before="240" w:after="60"/>
      <w:jc w:val="left"/>
      <w:outlineLvl w:val="0"/>
    </w:pPr>
    <w:rPr>
      <w:rFonts w:ascii="Calibri Light" w:hAnsi="Calibri Light"/>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character" w:customStyle="1" w:styleId="Heading1Char">
    <w:name w:val="Heading 1 Char"/>
    <w:basedOn w:val="DefaultParagraphFont"/>
    <w:link w:val="Heading1"/>
    <w:rsid w:val="00C2279B"/>
    <w:rPr>
      <w:rFonts w:ascii="Calibri Light" w:hAnsi="Calibri Light"/>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4111A"/>
    <w:pPr>
      <w:jc w:val="both"/>
    </w:pPr>
  </w:style>
  <w:style w:type="paragraph" w:styleId="Heading1">
    <w:name w:val="heading 1"/>
    <w:basedOn w:val="Normal"/>
    <w:next w:val="Normal"/>
    <w:link w:val="Heading1Char"/>
    <w:qFormat/>
    <w:rsid w:val="00C2279B"/>
    <w:pPr>
      <w:keepNext/>
      <w:spacing w:before="240" w:after="60"/>
      <w:jc w:val="left"/>
      <w:outlineLvl w:val="0"/>
    </w:pPr>
    <w:rPr>
      <w:rFonts w:ascii="Calibri Light" w:hAnsi="Calibri Light"/>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character" w:customStyle="1" w:styleId="Heading1Char">
    <w:name w:val="Heading 1 Char"/>
    <w:basedOn w:val="DefaultParagraphFont"/>
    <w:link w:val="Heading1"/>
    <w:rsid w:val="00C2279B"/>
    <w:rPr>
      <w:rFonts w:ascii="Calibri Light"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62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8942611">
          <w:marLeft w:val="0"/>
          <w:marRight w:val="0"/>
          <w:marTop w:val="0"/>
          <w:marBottom w:val="0"/>
          <w:divBdr>
            <w:top w:val="none" w:sz="0" w:space="0" w:color="auto"/>
            <w:left w:val="none" w:sz="0" w:space="0" w:color="auto"/>
            <w:bottom w:val="none" w:sz="0" w:space="0" w:color="auto"/>
            <w:right w:val="none" w:sz="0" w:space="0" w:color="auto"/>
          </w:divBdr>
          <w:divsChild>
            <w:div w:id="784544156">
              <w:marLeft w:val="0"/>
              <w:marRight w:val="0"/>
              <w:marTop w:val="0"/>
              <w:marBottom w:val="0"/>
              <w:divBdr>
                <w:top w:val="none" w:sz="0" w:space="0" w:color="auto"/>
                <w:left w:val="none" w:sz="0" w:space="0" w:color="auto"/>
                <w:bottom w:val="none" w:sz="0" w:space="0" w:color="auto"/>
                <w:right w:val="none" w:sz="0" w:space="0" w:color="auto"/>
              </w:divBdr>
              <w:divsChild>
                <w:div w:id="345332837">
                  <w:marLeft w:val="0"/>
                  <w:marRight w:val="0"/>
                  <w:marTop w:val="0"/>
                  <w:marBottom w:val="0"/>
                  <w:divBdr>
                    <w:top w:val="none" w:sz="0" w:space="0" w:color="auto"/>
                    <w:left w:val="none" w:sz="0" w:space="0" w:color="auto"/>
                    <w:bottom w:val="none" w:sz="0" w:space="0" w:color="auto"/>
                    <w:right w:val="none" w:sz="0" w:space="0" w:color="auto"/>
                  </w:divBdr>
                  <w:divsChild>
                    <w:div w:id="1479805172">
                      <w:marLeft w:val="0"/>
                      <w:marRight w:val="0"/>
                      <w:marTop w:val="0"/>
                      <w:marBottom w:val="0"/>
                      <w:divBdr>
                        <w:top w:val="none" w:sz="0" w:space="0" w:color="auto"/>
                        <w:left w:val="none" w:sz="0" w:space="0" w:color="auto"/>
                        <w:bottom w:val="none" w:sz="0" w:space="0" w:color="auto"/>
                        <w:right w:val="none" w:sz="0" w:space="0" w:color="auto"/>
                      </w:divBdr>
                    </w:div>
                    <w:div w:id="1916818244">
                      <w:marLeft w:val="0"/>
                      <w:marRight w:val="0"/>
                      <w:marTop w:val="0"/>
                      <w:marBottom w:val="0"/>
                      <w:divBdr>
                        <w:top w:val="none" w:sz="0" w:space="0" w:color="auto"/>
                        <w:left w:val="none" w:sz="0" w:space="0" w:color="auto"/>
                        <w:bottom w:val="none" w:sz="0" w:space="0" w:color="auto"/>
                        <w:right w:val="none" w:sz="0" w:space="0" w:color="auto"/>
                      </w:divBdr>
                    </w:div>
                    <w:div w:id="2093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LON_LIB1\16054164\2</vt:lpstr>
    </vt:vector>
  </TitlesOfParts>
  <Company>Eversheds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LON_LIB1\16054164\2</dc:title>
  <dc:creator>NicholHW</dc:creator>
  <cp:lastModifiedBy>National Grid</cp:lastModifiedBy>
  <cp:revision>2</cp:revision>
  <cp:lastPrinted>2017-03-30T15:25:00Z</cp:lastPrinted>
  <dcterms:created xsi:type="dcterms:W3CDTF">2017-04-13T09:17:00Z</dcterms:created>
  <dcterms:modified xsi:type="dcterms:W3CDTF">2017-04-13T09:17:00Z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143974</vt:lpwstr>
  </property>
  <property fmtid="{D5CDD505-2E9C-101B-9397-08002B2CF9AE}" pid="3" name="MatterID">
    <vt:lpwstr>000151</vt:lpwstr>
  </property>
  <property fmtid="{D5CDD505-2E9C-101B-9397-08002B2CF9AE}" pid="4" name="_AdHocReviewCycleID">
    <vt:i4>1933921799</vt:i4>
  </property>
  <property fmtid="{D5CDD505-2E9C-101B-9397-08002B2CF9AE}" pid="5" name="_NewReviewCycle">
    <vt:lpwstr/>
  </property>
  <property fmtid="{D5CDD505-2E9C-101B-9397-08002B2CF9AE}" pid="6" name="_EmailSubject">
    <vt:lpwstr>Document to be loaded onto website on Thursday 13 April 2017</vt:lpwstr>
  </property>
  <property fmtid="{D5CDD505-2E9C-101B-9397-08002B2CF9AE}" pid="7" name="_AuthorEmail">
    <vt:lpwstr>Sally.A.Barson@nationalgrid.com</vt:lpwstr>
  </property>
  <property fmtid="{D5CDD505-2E9C-101B-9397-08002B2CF9AE}" pid="8" name="_AuthorEmailDisplayName">
    <vt:lpwstr>Barson, Sally A</vt:lpwstr>
  </property>
  <property fmtid="{D5CDD505-2E9C-101B-9397-08002B2CF9AE}" pid="9" name="_ReviewingToolsShownOnce">
    <vt:lpwstr/>
  </property>
</Properties>
</file>